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D6FF" w14:textId="303E57A0" w:rsidR="00C73C20" w:rsidRDefault="00D378B6">
      <w:pPr>
        <w:rPr>
          <w:b/>
          <w:bCs/>
        </w:rPr>
      </w:pPr>
      <w:r w:rsidRPr="00E72476">
        <w:rPr>
          <w:b/>
          <w:bCs/>
        </w:rPr>
        <w:t>B</w:t>
      </w:r>
      <w:r w:rsidR="00C73C20">
        <w:rPr>
          <w:b/>
          <w:bCs/>
        </w:rPr>
        <w:t xml:space="preserve">ritish </w:t>
      </w:r>
      <w:r w:rsidRPr="00E72476">
        <w:rPr>
          <w:b/>
          <w:bCs/>
        </w:rPr>
        <w:t>C</w:t>
      </w:r>
      <w:r w:rsidR="00C73C20">
        <w:rPr>
          <w:b/>
          <w:bCs/>
        </w:rPr>
        <w:t xml:space="preserve">offee </w:t>
      </w:r>
      <w:r w:rsidRPr="00E72476">
        <w:rPr>
          <w:b/>
          <w:bCs/>
        </w:rPr>
        <w:t>A</w:t>
      </w:r>
      <w:r w:rsidR="00C73C20">
        <w:rPr>
          <w:b/>
          <w:bCs/>
        </w:rPr>
        <w:t>ssociation</w:t>
      </w:r>
      <w:r w:rsidRPr="00E72476">
        <w:rPr>
          <w:b/>
          <w:bCs/>
        </w:rPr>
        <w:t xml:space="preserve"> Seminar </w:t>
      </w:r>
    </w:p>
    <w:p w14:paraId="583B5E5E" w14:textId="61C86B7E" w:rsidR="00E2580B" w:rsidRPr="00E72476" w:rsidRDefault="00D378B6">
      <w:pPr>
        <w:rPr>
          <w:b/>
          <w:bCs/>
        </w:rPr>
      </w:pPr>
      <w:r w:rsidRPr="00E72476">
        <w:rPr>
          <w:b/>
          <w:bCs/>
        </w:rPr>
        <w:t>Due Diligence in the Supply Chain</w:t>
      </w:r>
      <w:r w:rsidR="00C73C20">
        <w:rPr>
          <w:b/>
          <w:bCs/>
        </w:rPr>
        <w:t xml:space="preserve"> - </w:t>
      </w:r>
      <w:r w:rsidRPr="00E72476">
        <w:rPr>
          <w:b/>
          <w:bCs/>
        </w:rPr>
        <w:t>Understanding the Implications</w:t>
      </w:r>
    </w:p>
    <w:p w14:paraId="341082E6" w14:textId="787A761D" w:rsidR="00D378B6" w:rsidRDefault="00D378B6"/>
    <w:p w14:paraId="0D122F19" w14:textId="0F262D10" w:rsidR="00D378B6" w:rsidRDefault="00C73C20">
      <w:r>
        <w:t xml:space="preserve">Members are invited to join </w:t>
      </w:r>
      <w:r w:rsidR="00821BCF">
        <w:t xml:space="preserve">this </w:t>
      </w:r>
      <w:r>
        <w:t>BCA</w:t>
      </w:r>
      <w:r w:rsidR="00115F15">
        <w:t xml:space="preserve"> on-site </w:t>
      </w:r>
      <w:r w:rsidR="00821BCF">
        <w:t xml:space="preserve">seminar to </w:t>
      </w:r>
      <w:r>
        <w:t xml:space="preserve">navigate the implications </w:t>
      </w:r>
      <w:r w:rsidR="00821BCF">
        <w:t xml:space="preserve">of due diligence in the coffee supply chain. </w:t>
      </w:r>
      <w:r w:rsidR="00115F15">
        <w:t>Global law</w:t>
      </w:r>
      <w:r w:rsidR="00D378B6">
        <w:t xml:space="preserve"> firm</w:t>
      </w:r>
      <w:r w:rsidR="00115F15">
        <w:t>,</w:t>
      </w:r>
      <w:r w:rsidR="00D378B6">
        <w:t xml:space="preserve"> Squire Patton Boggs</w:t>
      </w:r>
      <w:r w:rsidR="00115F15">
        <w:t>,</w:t>
      </w:r>
      <w:r w:rsidR="00821BCF">
        <w:t xml:space="preserve"> will lead us through the regulatory landscape and we’ll get perspective from the International Coffee Organisation and </w:t>
      </w:r>
      <w:r w:rsidR="00D378B6">
        <w:t>origin country representative</w:t>
      </w:r>
      <w:r w:rsidR="00821BCF">
        <w:t>s</w:t>
      </w:r>
      <w:r w:rsidR="00DA0B7D">
        <w:t>.</w:t>
      </w:r>
    </w:p>
    <w:p w14:paraId="51E472B8" w14:textId="4411CBF8" w:rsidR="00DA0B7D" w:rsidRDefault="00DA0B7D"/>
    <w:p w14:paraId="79CABBBD" w14:textId="314C1673" w:rsidR="00DA0B7D" w:rsidRDefault="00821BCF">
      <w:r>
        <w:t xml:space="preserve">This seminar is discounted for </w:t>
      </w:r>
      <w:r w:rsidR="00DA0B7D">
        <w:t>BCA members at £80 plus VAT.</w:t>
      </w:r>
    </w:p>
    <w:p w14:paraId="02B73211" w14:textId="65C1DA43" w:rsidR="00F502BA" w:rsidRDefault="00F502BA"/>
    <w:p w14:paraId="58DF1D12" w14:textId="66E3936C" w:rsidR="00F502BA" w:rsidRDefault="00F502BA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b/>
          <w:bCs/>
        </w:rPr>
        <w:t xml:space="preserve">Where: </w:t>
      </w:r>
      <w:r>
        <w:t xml:space="preserve">The Landmark Hotel, </w:t>
      </w:r>
      <w:r w:rsidR="00484313">
        <w:t>Marylebone</w:t>
      </w:r>
      <w:r w:rsidR="00745D53">
        <w:t xml:space="preserve">, </w:t>
      </w:r>
      <w:r>
        <w:t xml:space="preserve">London </w:t>
      </w:r>
      <w:r w:rsidR="00484313">
        <w:rPr>
          <w:rFonts w:ascii="Arial" w:hAnsi="Arial" w:cs="Arial"/>
          <w:color w:val="202124"/>
          <w:sz w:val="21"/>
          <w:szCs w:val="21"/>
          <w:shd w:val="clear" w:color="auto" w:fill="FFFFFF"/>
        </w:rPr>
        <w:t>NW1 6JQ</w:t>
      </w:r>
    </w:p>
    <w:p w14:paraId="439B9038" w14:textId="457835D9" w:rsidR="00F9421A" w:rsidRDefault="00F9421A">
      <w:pPr>
        <w:rPr>
          <w:rFonts w:asciiTheme="minorHAnsi" w:hAnsiTheme="minorHAnsi" w:cstheme="minorHAnsi"/>
          <w:color w:val="202124"/>
          <w:shd w:val="clear" w:color="auto" w:fill="FFFFFF"/>
        </w:rPr>
      </w:pPr>
      <w:r w:rsidRPr="00F9421A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When</w:t>
      </w:r>
      <w:r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 xml:space="preserve">: </w:t>
      </w:r>
      <w:r>
        <w:rPr>
          <w:rFonts w:asciiTheme="minorHAnsi" w:hAnsiTheme="minorHAnsi" w:cstheme="minorHAnsi"/>
          <w:color w:val="202124"/>
          <w:shd w:val="clear" w:color="auto" w:fill="FFFFFF"/>
        </w:rPr>
        <w:t>Friday 17</w:t>
      </w:r>
      <w:r w:rsidRPr="00F9421A">
        <w:rPr>
          <w:rFonts w:asciiTheme="minorHAnsi" w:hAnsiTheme="minorHAnsi" w:cstheme="minorHAnsi"/>
          <w:color w:val="202124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June</w:t>
      </w:r>
      <w:r w:rsidR="00D17858">
        <w:rPr>
          <w:rFonts w:asciiTheme="minorHAnsi" w:hAnsiTheme="minorHAnsi" w:cstheme="minorHAnsi"/>
          <w:color w:val="202124"/>
          <w:shd w:val="clear" w:color="auto" w:fill="FFFFFF"/>
        </w:rPr>
        <w:t>, 2022.  11.30am to 3.30pm</w:t>
      </w:r>
    </w:p>
    <w:p w14:paraId="2FB68D2A" w14:textId="09525B1A" w:rsidR="00D17858" w:rsidRDefault="00D17858">
      <w:pPr>
        <w:rPr>
          <w:rFonts w:asciiTheme="minorHAnsi" w:hAnsiTheme="minorHAnsi" w:cstheme="minorHAnsi"/>
          <w:color w:val="202124"/>
          <w:shd w:val="clear" w:color="auto" w:fill="FFFFFF"/>
        </w:rPr>
      </w:pPr>
    </w:p>
    <w:p w14:paraId="377DBBEE" w14:textId="7F251053" w:rsidR="00D17858" w:rsidRPr="005A54FE" w:rsidRDefault="00D17858">
      <w:pPr>
        <w:rPr>
          <w:rFonts w:asciiTheme="minorHAnsi" w:hAnsiTheme="minorHAnsi" w:cstheme="minorHAnsi"/>
          <w:b/>
          <w:bCs/>
          <w:i/>
          <w:iCs/>
        </w:rPr>
      </w:pPr>
      <w:r w:rsidRPr="005A54FE">
        <w:rPr>
          <w:rFonts w:asciiTheme="minorHAnsi" w:hAnsiTheme="minorHAnsi" w:cstheme="minorHAnsi"/>
          <w:b/>
          <w:bCs/>
          <w:i/>
          <w:iCs/>
          <w:color w:val="202124"/>
          <w:shd w:val="clear" w:color="auto" w:fill="FFFFFF"/>
        </w:rPr>
        <w:t xml:space="preserve">Refreshments and lunch provided (please notify of any </w:t>
      </w:r>
      <w:r w:rsidR="00F15578" w:rsidRPr="005A54FE">
        <w:rPr>
          <w:rFonts w:asciiTheme="minorHAnsi" w:hAnsiTheme="minorHAnsi" w:cstheme="minorHAnsi"/>
          <w:b/>
          <w:bCs/>
          <w:i/>
          <w:iCs/>
          <w:color w:val="202124"/>
          <w:shd w:val="clear" w:color="auto" w:fill="FFFFFF"/>
        </w:rPr>
        <w:t>dietary requirements)</w:t>
      </w:r>
    </w:p>
    <w:p w14:paraId="32AE0CD7" w14:textId="5A2F6540" w:rsidR="00DA0B7D" w:rsidRDefault="00DA0B7D"/>
    <w:p w14:paraId="674C3D96" w14:textId="655418CB" w:rsidR="00DA0B7D" w:rsidRDefault="00DA0B7D">
      <w:r>
        <w:t>Places are limited so please book early to avoid disappointment.</w:t>
      </w:r>
    </w:p>
    <w:p w14:paraId="66480F7E" w14:textId="75873641" w:rsidR="005A54FE" w:rsidRDefault="005A54FE"/>
    <w:p w14:paraId="5F394184" w14:textId="32933FFE" w:rsidR="005A54FE" w:rsidRDefault="005A54FE"/>
    <w:p w14:paraId="560AC159" w14:textId="77777777" w:rsidR="005A54FE" w:rsidRDefault="005A54FE"/>
    <w:p w14:paraId="340FDF83" w14:textId="617E5CC4" w:rsidR="00AD69E9" w:rsidRDefault="005A54FE" w:rsidP="005A54FE">
      <w:pPr>
        <w:jc w:val="center"/>
        <w:rPr>
          <w:b/>
          <w:bCs/>
        </w:rPr>
      </w:pPr>
      <w:r w:rsidRPr="005A54FE">
        <w:rPr>
          <w:b/>
          <w:bCs/>
        </w:rPr>
        <w:t>PROGRAMME</w:t>
      </w:r>
    </w:p>
    <w:p w14:paraId="47B9B0BB" w14:textId="77777777" w:rsidR="005A54FE" w:rsidRPr="005A54FE" w:rsidRDefault="005A54FE" w:rsidP="005A54FE">
      <w:pPr>
        <w:jc w:val="center"/>
        <w:rPr>
          <w:b/>
          <w:bCs/>
        </w:rPr>
      </w:pPr>
    </w:p>
    <w:p w14:paraId="44198D02" w14:textId="70995988" w:rsidR="00AD69E9" w:rsidRDefault="00AD69E9" w:rsidP="00E72476">
      <w:pPr>
        <w:pStyle w:val="ListParagraph"/>
        <w:numPr>
          <w:ilvl w:val="0"/>
          <w:numId w:val="4"/>
        </w:numPr>
        <w:rPr>
          <w:b/>
          <w:bCs/>
        </w:rPr>
      </w:pPr>
      <w:r w:rsidRPr="00E72476">
        <w:rPr>
          <w:b/>
          <w:bCs/>
        </w:rPr>
        <w:t xml:space="preserve">Introduction and </w:t>
      </w:r>
      <w:r w:rsidR="00E72476" w:rsidRPr="00E72476">
        <w:rPr>
          <w:b/>
          <w:bCs/>
        </w:rPr>
        <w:t>setting the scene</w:t>
      </w:r>
    </w:p>
    <w:p w14:paraId="460CAFF1" w14:textId="40154046" w:rsidR="00E72476" w:rsidRDefault="00E72476" w:rsidP="00E72476">
      <w:pPr>
        <w:pStyle w:val="ListParagraph"/>
        <w:rPr>
          <w:i/>
          <w:iCs/>
        </w:rPr>
      </w:pPr>
      <w:r>
        <w:rPr>
          <w:i/>
          <w:iCs/>
        </w:rPr>
        <w:t>Paul Rooke, Executive Director, British Coffee Association</w:t>
      </w:r>
    </w:p>
    <w:p w14:paraId="0A4F9DDE" w14:textId="77777777" w:rsidR="00E72476" w:rsidRPr="00E72476" w:rsidRDefault="00E72476" w:rsidP="00E72476">
      <w:pPr>
        <w:pStyle w:val="ListParagraph"/>
        <w:rPr>
          <w:i/>
          <w:iCs/>
        </w:rPr>
      </w:pPr>
    </w:p>
    <w:p w14:paraId="74177ECB" w14:textId="6400114A" w:rsidR="00E72476" w:rsidRDefault="00E72476" w:rsidP="00E7247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Du</w:t>
      </w:r>
      <w:r w:rsidR="00C73C20">
        <w:rPr>
          <w:b/>
          <w:bCs/>
        </w:rPr>
        <w:t>e</w:t>
      </w:r>
      <w:r>
        <w:rPr>
          <w:b/>
          <w:bCs/>
        </w:rPr>
        <w:t xml:space="preserve"> diligence and the global coffee challenges – ICO perspective</w:t>
      </w:r>
    </w:p>
    <w:p w14:paraId="1D117335" w14:textId="31B0FB74" w:rsidR="00E72476" w:rsidRDefault="00E72476" w:rsidP="00E72476">
      <w:pPr>
        <w:pStyle w:val="ListParagraph"/>
        <w:rPr>
          <w:i/>
          <w:iCs/>
        </w:rPr>
      </w:pPr>
      <w:r>
        <w:rPr>
          <w:i/>
          <w:iCs/>
        </w:rPr>
        <w:t>Vanusia</w:t>
      </w:r>
      <w:r w:rsidR="008D209F">
        <w:rPr>
          <w:i/>
          <w:iCs/>
        </w:rPr>
        <w:t xml:space="preserve"> Nogueira, Executive Director, International Coffee Organisation</w:t>
      </w:r>
    </w:p>
    <w:p w14:paraId="6DAB70AC" w14:textId="650E6706" w:rsidR="008D209F" w:rsidRDefault="008D209F" w:rsidP="00E72476">
      <w:pPr>
        <w:pStyle w:val="ListParagraph"/>
        <w:rPr>
          <w:i/>
          <w:iCs/>
        </w:rPr>
      </w:pPr>
    </w:p>
    <w:p w14:paraId="74934AC9" w14:textId="3F34B7DB" w:rsidR="008D209F" w:rsidRDefault="00C76B76" w:rsidP="008D209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Setting the Regulatory Landscape for the UK &amp; EU</w:t>
      </w:r>
    </w:p>
    <w:p w14:paraId="647E1E27" w14:textId="74B921FB" w:rsidR="00C76B76" w:rsidRDefault="00C76B76" w:rsidP="00C76B76">
      <w:pPr>
        <w:pStyle w:val="ListParagraph"/>
        <w:rPr>
          <w:i/>
          <w:iCs/>
        </w:rPr>
      </w:pPr>
      <w:r>
        <w:rPr>
          <w:i/>
          <w:iCs/>
        </w:rPr>
        <w:t>Nicola Smith &amp; Colleagues, Patton Squire Boggs</w:t>
      </w:r>
    </w:p>
    <w:p w14:paraId="7D59A266" w14:textId="1A3DEA1B" w:rsidR="0086272A" w:rsidRDefault="0086272A" w:rsidP="0086272A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b/>
          <w:bCs/>
        </w:rPr>
        <w:t>Regulatory Overview</w:t>
      </w:r>
    </w:p>
    <w:p w14:paraId="5D2C881B" w14:textId="77777777" w:rsidR="00C76B76" w:rsidRDefault="00C76B76" w:rsidP="00C76B76">
      <w:pPr>
        <w:pStyle w:val="ListParagraph"/>
        <w:numPr>
          <w:ilvl w:val="2"/>
          <w:numId w:val="4"/>
        </w:numPr>
      </w:pPr>
      <w:r>
        <w:t>UK &amp; EU laws – application &amp; enforcement</w:t>
      </w:r>
    </w:p>
    <w:p w14:paraId="42A2720F" w14:textId="74B84B45" w:rsidR="00C76B76" w:rsidRDefault="00C76B76" w:rsidP="00C76B76">
      <w:pPr>
        <w:pStyle w:val="ListParagraph"/>
        <w:numPr>
          <w:ilvl w:val="2"/>
          <w:numId w:val="4"/>
        </w:numPr>
      </w:pPr>
      <w:r>
        <w:t>Food safety &amp; traceability requirements</w:t>
      </w:r>
    </w:p>
    <w:p w14:paraId="6E651CF1" w14:textId="25707FB7" w:rsidR="00C76B76" w:rsidRDefault="00C76B76" w:rsidP="00C76B76">
      <w:pPr>
        <w:pStyle w:val="ListParagraph"/>
        <w:numPr>
          <w:ilvl w:val="2"/>
          <w:numId w:val="4"/>
        </w:numPr>
      </w:pPr>
      <w:r>
        <w:t>Supply chain challenges &amp; food safety</w:t>
      </w:r>
    </w:p>
    <w:p w14:paraId="67E0596F" w14:textId="77777777" w:rsidR="0086272A" w:rsidRDefault="0086272A" w:rsidP="0086272A">
      <w:pPr>
        <w:ind w:left="1800"/>
      </w:pPr>
    </w:p>
    <w:p w14:paraId="0BA52A11" w14:textId="5ECCAE22" w:rsidR="00C76B76" w:rsidRDefault="0086272A" w:rsidP="0086272A">
      <w:pPr>
        <w:pStyle w:val="ListParagraph"/>
        <w:numPr>
          <w:ilvl w:val="1"/>
          <w:numId w:val="4"/>
        </w:numPr>
        <w:rPr>
          <w:b/>
          <w:bCs/>
        </w:rPr>
      </w:pPr>
      <w:r w:rsidRPr="0086272A">
        <w:rPr>
          <w:b/>
          <w:bCs/>
        </w:rPr>
        <w:t xml:space="preserve">Environmental, Social and Corporate Governance </w:t>
      </w:r>
    </w:p>
    <w:p w14:paraId="6D413826" w14:textId="17CF4D54" w:rsidR="0086272A" w:rsidRDefault="0086272A" w:rsidP="0086272A">
      <w:pPr>
        <w:pStyle w:val="ListParagraph"/>
        <w:numPr>
          <w:ilvl w:val="2"/>
          <w:numId w:val="4"/>
        </w:numPr>
      </w:pPr>
      <w:r w:rsidRPr="0086272A">
        <w:t>Opportunities from a compliance perspective</w:t>
      </w:r>
    </w:p>
    <w:p w14:paraId="06D655A7" w14:textId="77777777" w:rsidR="0086272A" w:rsidRDefault="0086272A" w:rsidP="0086272A">
      <w:pPr>
        <w:pStyle w:val="ListParagraph"/>
        <w:ind w:left="2160"/>
      </w:pPr>
    </w:p>
    <w:p w14:paraId="55A8FF60" w14:textId="2396C842" w:rsidR="0086272A" w:rsidRPr="0086272A" w:rsidRDefault="0086272A" w:rsidP="0086272A">
      <w:pPr>
        <w:pStyle w:val="ListParagraph"/>
        <w:numPr>
          <w:ilvl w:val="1"/>
          <w:numId w:val="4"/>
        </w:numPr>
      </w:pPr>
      <w:r>
        <w:rPr>
          <w:b/>
          <w:bCs/>
        </w:rPr>
        <w:t>European Green Deal</w:t>
      </w:r>
    </w:p>
    <w:p w14:paraId="6A8D5EC5" w14:textId="4B35456D" w:rsidR="0086272A" w:rsidRDefault="0086272A" w:rsidP="0086272A">
      <w:pPr>
        <w:pStyle w:val="ListParagraph"/>
        <w:numPr>
          <w:ilvl w:val="2"/>
          <w:numId w:val="4"/>
        </w:numPr>
      </w:pPr>
      <w:r>
        <w:t>Setting the scene on climate, energy &amp; environmental policy</w:t>
      </w:r>
    </w:p>
    <w:p w14:paraId="55B538CB" w14:textId="77777777" w:rsidR="0086272A" w:rsidRDefault="0086272A" w:rsidP="0086272A">
      <w:pPr>
        <w:pStyle w:val="ListParagraph"/>
        <w:ind w:left="2160"/>
      </w:pPr>
    </w:p>
    <w:p w14:paraId="1783AB15" w14:textId="655ED538" w:rsidR="0086272A" w:rsidRPr="0086272A" w:rsidRDefault="0086272A" w:rsidP="0086272A">
      <w:pPr>
        <w:pStyle w:val="ListParagraph"/>
        <w:numPr>
          <w:ilvl w:val="1"/>
          <w:numId w:val="4"/>
        </w:numPr>
        <w:rPr>
          <w:b/>
          <w:bCs/>
        </w:rPr>
      </w:pPr>
      <w:r w:rsidRPr="0086272A">
        <w:rPr>
          <w:b/>
          <w:bCs/>
        </w:rPr>
        <w:t>Modern Slavery Act</w:t>
      </w:r>
    </w:p>
    <w:p w14:paraId="0226BE95" w14:textId="530B81C7" w:rsidR="0086272A" w:rsidRDefault="0086272A" w:rsidP="0086272A">
      <w:pPr>
        <w:pStyle w:val="ListParagraph"/>
        <w:numPr>
          <w:ilvl w:val="2"/>
          <w:numId w:val="4"/>
        </w:numPr>
      </w:pPr>
      <w:r>
        <w:t>Requirements &amp; latest trends</w:t>
      </w:r>
    </w:p>
    <w:p w14:paraId="7B7E83A9" w14:textId="77777777" w:rsidR="00F62824" w:rsidRDefault="00F62824" w:rsidP="00F62824">
      <w:pPr>
        <w:pStyle w:val="ListParagraph"/>
        <w:ind w:left="2160"/>
      </w:pPr>
    </w:p>
    <w:p w14:paraId="7ECCC36D" w14:textId="1D0957B4" w:rsidR="00F62824" w:rsidRPr="00F62824" w:rsidRDefault="00F62824" w:rsidP="00F62824">
      <w:pPr>
        <w:pStyle w:val="ListParagraph"/>
        <w:numPr>
          <w:ilvl w:val="1"/>
          <w:numId w:val="4"/>
        </w:numPr>
        <w:rPr>
          <w:b/>
          <w:bCs/>
        </w:rPr>
      </w:pPr>
      <w:r w:rsidRPr="00F62824">
        <w:rPr>
          <w:b/>
          <w:bCs/>
        </w:rPr>
        <w:t>Corporate Tax offences</w:t>
      </w:r>
    </w:p>
    <w:p w14:paraId="0A764386" w14:textId="1D0957B4" w:rsidR="00F62824" w:rsidRPr="0086272A" w:rsidRDefault="00F62824" w:rsidP="00F62824">
      <w:pPr>
        <w:pStyle w:val="ListParagraph"/>
        <w:numPr>
          <w:ilvl w:val="2"/>
          <w:numId w:val="4"/>
        </w:numPr>
      </w:pPr>
      <w:r>
        <w:t>Understanding rules on anti-tax evasion</w:t>
      </w:r>
    </w:p>
    <w:p w14:paraId="4EAFA96D" w14:textId="67082E24" w:rsidR="00E72476" w:rsidRDefault="00E72476" w:rsidP="009F50F7">
      <w:pPr>
        <w:pStyle w:val="ListParagraph"/>
        <w:ind w:left="2160"/>
        <w:rPr>
          <w:b/>
          <w:bCs/>
        </w:rPr>
      </w:pPr>
    </w:p>
    <w:p w14:paraId="3FDF0746" w14:textId="0017B31C" w:rsidR="009F50F7" w:rsidRDefault="009F50F7" w:rsidP="009F50F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Due Diligence Case Study – Germany</w:t>
      </w:r>
    </w:p>
    <w:p w14:paraId="7BA409BD" w14:textId="547B5093" w:rsidR="009F50F7" w:rsidRPr="00C73C20" w:rsidRDefault="00745D53" w:rsidP="009F50F7">
      <w:pPr>
        <w:pStyle w:val="ListParagraph"/>
        <w:numPr>
          <w:ilvl w:val="2"/>
          <w:numId w:val="4"/>
        </w:numPr>
        <w:rPr>
          <w:b/>
          <w:bCs/>
          <w:lang w:val="de-DE"/>
        </w:rPr>
      </w:pPr>
      <w:r w:rsidRPr="00C73C20">
        <w:rPr>
          <w:lang w:val="de-DE"/>
        </w:rPr>
        <w:t>“</w:t>
      </w:r>
      <w:r w:rsidR="009F50F7" w:rsidRPr="00C73C20">
        <w:rPr>
          <w:lang w:val="de-DE"/>
        </w:rPr>
        <w:t>Gesetz über die unternehmerischen Sorgfaltspflichten in Lieferketten</w:t>
      </w:r>
      <w:r w:rsidRPr="00C73C20">
        <w:rPr>
          <w:lang w:val="de-DE"/>
        </w:rPr>
        <w:t>”</w:t>
      </w:r>
    </w:p>
    <w:p w14:paraId="477BF1BB" w14:textId="7863F283" w:rsidR="009F50F7" w:rsidRPr="009F50F7" w:rsidRDefault="009F50F7" w:rsidP="009F50F7">
      <w:pPr>
        <w:pStyle w:val="ListParagraph"/>
        <w:numPr>
          <w:ilvl w:val="2"/>
          <w:numId w:val="4"/>
        </w:numPr>
        <w:rPr>
          <w:b/>
          <w:bCs/>
        </w:rPr>
      </w:pPr>
      <w:r>
        <w:t>Understanding its requirements and to whom they apply</w:t>
      </w:r>
    </w:p>
    <w:p w14:paraId="2D5B96E2" w14:textId="403D1AC4" w:rsidR="009F50F7" w:rsidRPr="009F50F7" w:rsidRDefault="009F50F7" w:rsidP="009F50F7">
      <w:pPr>
        <w:pStyle w:val="ListParagraph"/>
        <w:numPr>
          <w:ilvl w:val="2"/>
          <w:numId w:val="4"/>
        </w:numPr>
        <w:rPr>
          <w:b/>
          <w:bCs/>
        </w:rPr>
      </w:pPr>
      <w:r>
        <w:t>Enforcement mechanisms &amp; risks of non-compliance</w:t>
      </w:r>
    </w:p>
    <w:p w14:paraId="1BF16F12" w14:textId="77777777" w:rsidR="00E72476" w:rsidRPr="00E72476" w:rsidRDefault="00E72476" w:rsidP="00E72476">
      <w:pPr>
        <w:rPr>
          <w:b/>
          <w:bCs/>
        </w:rPr>
      </w:pPr>
    </w:p>
    <w:p w14:paraId="2343505B" w14:textId="77777777" w:rsidR="00AD69E9" w:rsidRDefault="00AD69E9" w:rsidP="00AD69E9">
      <w:pPr>
        <w:rPr>
          <w:b/>
          <w:bCs/>
        </w:rPr>
      </w:pPr>
    </w:p>
    <w:p w14:paraId="716BD506" w14:textId="048B067B" w:rsidR="00AD69E9" w:rsidRDefault="00AD69E9" w:rsidP="009F50F7"/>
    <w:p w14:paraId="39EFE750" w14:textId="2D585731" w:rsidR="009F50F7" w:rsidRPr="009F50F7" w:rsidRDefault="009F50F7" w:rsidP="00AD69E9">
      <w:pPr>
        <w:pStyle w:val="ListParagraph"/>
        <w:numPr>
          <w:ilvl w:val="0"/>
          <w:numId w:val="1"/>
        </w:numPr>
      </w:pPr>
      <w:r>
        <w:rPr>
          <w:b/>
          <w:bCs/>
        </w:rPr>
        <w:t>Forest Risk Commodities – view from the producer</w:t>
      </w:r>
    </w:p>
    <w:p w14:paraId="3115B7BC" w14:textId="22C01702" w:rsidR="009F50F7" w:rsidRPr="00351FAA" w:rsidRDefault="00556BD8" w:rsidP="00AD69E9">
      <w:pPr>
        <w:pStyle w:val="ListParagraph"/>
        <w:numPr>
          <w:ilvl w:val="0"/>
          <w:numId w:val="1"/>
        </w:numPr>
      </w:pPr>
      <w:r>
        <w:rPr>
          <w:i/>
          <w:iCs/>
        </w:rPr>
        <w:t xml:space="preserve">Speaker - </w:t>
      </w:r>
      <w:r w:rsidR="009F50F7">
        <w:rPr>
          <w:i/>
          <w:iCs/>
        </w:rPr>
        <w:t>British &amp; Colombian Chamber of Commerce</w:t>
      </w:r>
    </w:p>
    <w:p w14:paraId="3E3F7EDE" w14:textId="77777777" w:rsidR="00351FAA" w:rsidRPr="00F502BA" w:rsidRDefault="00351FAA" w:rsidP="00AD69E9">
      <w:pPr>
        <w:pStyle w:val="ListParagraph"/>
        <w:numPr>
          <w:ilvl w:val="0"/>
          <w:numId w:val="1"/>
        </w:numPr>
      </w:pPr>
    </w:p>
    <w:p w14:paraId="2A10EA44" w14:textId="545A1A38" w:rsidR="00F502BA" w:rsidRPr="00F502BA" w:rsidRDefault="00F502BA" w:rsidP="00AD69E9">
      <w:pPr>
        <w:pStyle w:val="ListParagraph"/>
        <w:numPr>
          <w:ilvl w:val="0"/>
          <w:numId w:val="1"/>
        </w:numPr>
      </w:pPr>
      <w:r>
        <w:rPr>
          <w:b/>
          <w:bCs/>
        </w:rPr>
        <w:t>Forest Risk Commodities – UK and EU approaches</w:t>
      </w:r>
    </w:p>
    <w:p w14:paraId="1FACC6AA" w14:textId="700E22DF" w:rsidR="00F502BA" w:rsidRDefault="00F502BA" w:rsidP="00F502BA">
      <w:pPr>
        <w:pStyle w:val="ListParagraph"/>
        <w:rPr>
          <w:i/>
          <w:iCs/>
        </w:rPr>
      </w:pPr>
      <w:r>
        <w:rPr>
          <w:i/>
          <w:iCs/>
        </w:rPr>
        <w:t>Squire Patton Boggs</w:t>
      </w:r>
    </w:p>
    <w:p w14:paraId="695CC510" w14:textId="51F4F383" w:rsidR="00F502BA" w:rsidRDefault="00F502BA" w:rsidP="00F502BA">
      <w:pPr>
        <w:pStyle w:val="ListParagraph"/>
        <w:numPr>
          <w:ilvl w:val="0"/>
          <w:numId w:val="5"/>
        </w:numPr>
        <w:ind w:left="2127"/>
        <w:rPr>
          <w:i/>
          <w:iCs/>
        </w:rPr>
      </w:pPr>
      <w:r>
        <w:rPr>
          <w:i/>
          <w:iCs/>
        </w:rPr>
        <w:t>Overview of the differing legal approaches</w:t>
      </w:r>
    </w:p>
    <w:p w14:paraId="3D2EC461" w14:textId="24F2EE01" w:rsidR="00F502BA" w:rsidRDefault="00F502BA" w:rsidP="00F502BA">
      <w:pPr>
        <w:pStyle w:val="ListParagraph"/>
        <w:numPr>
          <w:ilvl w:val="0"/>
          <w:numId w:val="5"/>
        </w:numPr>
        <w:ind w:left="2127"/>
        <w:rPr>
          <w:i/>
          <w:iCs/>
        </w:rPr>
      </w:pPr>
      <w:r>
        <w:rPr>
          <w:i/>
          <w:iCs/>
        </w:rPr>
        <w:t>Implications for cross-border trade</w:t>
      </w:r>
    </w:p>
    <w:p w14:paraId="16A170A9" w14:textId="77777777" w:rsidR="00351FAA" w:rsidRPr="00F502BA" w:rsidRDefault="00351FAA" w:rsidP="00351FAA">
      <w:pPr>
        <w:pStyle w:val="ListParagraph"/>
        <w:ind w:left="2127"/>
        <w:rPr>
          <w:i/>
          <w:iCs/>
        </w:rPr>
      </w:pPr>
    </w:p>
    <w:p w14:paraId="5DEE8507" w14:textId="77777777" w:rsidR="00351FAA" w:rsidRPr="00351FAA" w:rsidRDefault="00351FAA" w:rsidP="00AD69E9">
      <w:pPr>
        <w:pStyle w:val="ListParagraph"/>
        <w:numPr>
          <w:ilvl w:val="0"/>
          <w:numId w:val="1"/>
        </w:numPr>
      </w:pPr>
      <w:r>
        <w:rPr>
          <w:b/>
          <w:bCs/>
        </w:rPr>
        <w:t>Forest Risk Commodities – view from the producer</w:t>
      </w:r>
    </w:p>
    <w:p w14:paraId="50D834E0" w14:textId="2B3C88D6" w:rsidR="00AD69E9" w:rsidRDefault="00351FAA" w:rsidP="00351FAA">
      <w:pPr>
        <w:pStyle w:val="ListParagraph"/>
      </w:pPr>
      <w:r>
        <w:rPr>
          <w:i/>
          <w:iCs/>
        </w:rPr>
        <w:t>Speaker to be confirmed</w:t>
      </w:r>
      <w:r w:rsidR="00AD69E9">
        <w:t xml:space="preserve"> </w:t>
      </w:r>
    </w:p>
    <w:p w14:paraId="11714C38" w14:textId="77777777" w:rsidR="00AD69E9" w:rsidRDefault="00AD69E9" w:rsidP="00AD69E9">
      <w:pPr>
        <w:rPr>
          <w:b/>
          <w:bCs/>
        </w:rPr>
      </w:pPr>
    </w:p>
    <w:p w14:paraId="4BF2F505" w14:textId="77777777" w:rsidR="00AD69E9" w:rsidRDefault="00AD69E9" w:rsidP="00AD69E9"/>
    <w:p w14:paraId="42AEA0A6" w14:textId="6BABB159" w:rsidR="00AD69E9" w:rsidRPr="006B1EE3" w:rsidRDefault="00AD69E9" w:rsidP="006B1EE3">
      <w:pPr>
        <w:pStyle w:val="ListParagraph"/>
        <w:numPr>
          <w:ilvl w:val="0"/>
          <w:numId w:val="6"/>
        </w:numPr>
        <w:rPr>
          <w:b/>
          <w:bCs/>
        </w:rPr>
      </w:pPr>
      <w:r w:rsidRPr="006B1EE3">
        <w:rPr>
          <w:b/>
          <w:bCs/>
        </w:rPr>
        <w:t xml:space="preserve">On the Horizon – EU </w:t>
      </w:r>
    </w:p>
    <w:p w14:paraId="4055E65B" w14:textId="258C33BB" w:rsidR="00AD69E9" w:rsidRPr="006B1EE3" w:rsidRDefault="006B1EE3" w:rsidP="006B1EE3">
      <w:pPr>
        <w:ind w:left="720"/>
        <w:rPr>
          <w:i/>
          <w:iCs/>
        </w:rPr>
      </w:pPr>
      <w:r>
        <w:rPr>
          <w:i/>
          <w:iCs/>
        </w:rPr>
        <w:t>Squire Patton Boggs</w:t>
      </w:r>
    </w:p>
    <w:p w14:paraId="3A731A09" w14:textId="3BE028F3" w:rsidR="00AD69E9" w:rsidRDefault="00AD69E9" w:rsidP="006B1EE3">
      <w:pPr>
        <w:pStyle w:val="ListParagraph"/>
        <w:numPr>
          <w:ilvl w:val="2"/>
          <w:numId w:val="6"/>
        </w:numPr>
      </w:pPr>
      <w:r>
        <w:t>EU proposals on mandatory supply chain due diligence – which would supersede Germany’s legislation</w:t>
      </w:r>
    </w:p>
    <w:p w14:paraId="218FD51C" w14:textId="3887071A" w:rsidR="006B1EE3" w:rsidRDefault="006B1EE3" w:rsidP="006B1EE3">
      <w:pPr>
        <w:pStyle w:val="ListParagraph"/>
        <w:numPr>
          <w:ilvl w:val="2"/>
          <w:numId w:val="6"/>
        </w:numPr>
      </w:pPr>
      <w:r>
        <w:t>Agricultural products  - new Directive on Unfair Commercial Practices</w:t>
      </w:r>
    </w:p>
    <w:p w14:paraId="38B96B20" w14:textId="318C1119" w:rsidR="00AD69E9" w:rsidRDefault="00AD69E9" w:rsidP="006B1EE3">
      <w:pPr>
        <w:pStyle w:val="ListParagraph"/>
        <w:numPr>
          <w:ilvl w:val="2"/>
          <w:numId w:val="6"/>
        </w:numPr>
      </w:pPr>
      <w:r>
        <w:t>Upcoming law on food labelling and substantiating environmental claims – for example, around sustainability.</w:t>
      </w:r>
    </w:p>
    <w:p w14:paraId="08E460AE" w14:textId="77777777" w:rsidR="00AD69E9" w:rsidRDefault="00AD69E9"/>
    <w:sectPr w:rsidR="00AD6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2D6"/>
    <w:multiLevelType w:val="hybridMultilevel"/>
    <w:tmpl w:val="D44C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481"/>
    <w:multiLevelType w:val="hybridMultilevel"/>
    <w:tmpl w:val="2496D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067C3"/>
    <w:multiLevelType w:val="hybridMultilevel"/>
    <w:tmpl w:val="CE24B1A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BF33E0"/>
    <w:multiLevelType w:val="hybridMultilevel"/>
    <w:tmpl w:val="B136ED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14EA1"/>
    <w:multiLevelType w:val="hybridMultilevel"/>
    <w:tmpl w:val="952A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E9"/>
    <w:rsid w:val="00115F15"/>
    <w:rsid w:val="00351FAA"/>
    <w:rsid w:val="00484313"/>
    <w:rsid w:val="00556BD8"/>
    <w:rsid w:val="005A54FE"/>
    <w:rsid w:val="005E464C"/>
    <w:rsid w:val="006B1EE3"/>
    <w:rsid w:val="00745D53"/>
    <w:rsid w:val="00821BCF"/>
    <w:rsid w:val="0086272A"/>
    <w:rsid w:val="008D209F"/>
    <w:rsid w:val="009F50F7"/>
    <w:rsid w:val="00AD69E9"/>
    <w:rsid w:val="00C73C20"/>
    <w:rsid w:val="00C76B76"/>
    <w:rsid w:val="00D17858"/>
    <w:rsid w:val="00D378B6"/>
    <w:rsid w:val="00DA0B7D"/>
    <w:rsid w:val="00E2580B"/>
    <w:rsid w:val="00E72476"/>
    <w:rsid w:val="00F15578"/>
    <w:rsid w:val="00F502BA"/>
    <w:rsid w:val="00F62824"/>
    <w:rsid w:val="00F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DB08"/>
  <w15:chartTrackingRefBased/>
  <w15:docId w15:val="{20047F3B-27E8-4C6E-8B65-B8650637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9E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9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Rooke</dc:creator>
  <cp:keywords/>
  <dc:description/>
  <cp:lastModifiedBy>Catriona Balfour</cp:lastModifiedBy>
  <cp:revision>2</cp:revision>
  <dcterms:created xsi:type="dcterms:W3CDTF">2022-03-15T14:52:00Z</dcterms:created>
  <dcterms:modified xsi:type="dcterms:W3CDTF">2022-03-15T14:52:00Z</dcterms:modified>
</cp:coreProperties>
</file>