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FB46D" w14:textId="77777777" w:rsidR="00BE61C1" w:rsidRDefault="00BE61C1" w:rsidP="00BE61C1"/>
    <w:p w14:paraId="62CFD4E2" w14:textId="77777777" w:rsidR="00BE61C1" w:rsidRDefault="00BE61C1" w:rsidP="00BE61C1">
      <w:pPr>
        <w:rPr>
          <w:b/>
          <w:bCs/>
        </w:rPr>
      </w:pPr>
    </w:p>
    <w:p w14:paraId="1DCDBE27" w14:textId="77777777" w:rsidR="00BE61C1" w:rsidRDefault="00BE61C1" w:rsidP="00BE61C1">
      <w:pPr>
        <w:rPr>
          <w:b/>
          <w:bCs/>
        </w:rPr>
      </w:pPr>
    </w:p>
    <w:p w14:paraId="4153E198" w14:textId="77777777" w:rsidR="00BE61C1" w:rsidRDefault="00BE61C1" w:rsidP="00BE61C1">
      <w:pPr>
        <w:rPr>
          <w:b/>
          <w:bCs/>
        </w:rPr>
      </w:pPr>
    </w:p>
    <w:p w14:paraId="571BBFEA" w14:textId="77777777" w:rsidR="00BE61C1" w:rsidRPr="00BE61C1" w:rsidRDefault="00BE61C1" w:rsidP="00BE61C1">
      <w:pPr>
        <w:rPr>
          <w:b/>
          <w:bCs/>
          <w:sz w:val="32"/>
          <w:szCs w:val="32"/>
        </w:rPr>
      </w:pPr>
    </w:p>
    <w:p w14:paraId="6BC9B095" w14:textId="2FA6B59E" w:rsidR="00BE61C1" w:rsidRDefault="00BE61C1" w:rsidP="00BE61C1">
      <w:pPr>
        <w:rPr>
          <w:b/>
          <w:bCs/>
          <w:sz w:val="32"/>
          <w:szCs w:val="32"/>
        </w:rPr>
      </w:pPr>
      <w:r w:rsidRPr="00BE61C1">
        <w:rPr>
          <w:b/>
          <w:bCs/>
          <w:sz w:val="32"/>
          <w:szCs w:val="32"/>
        </w:rPr>
        <w:t>Use of Titanium Dioxide as a Food Additive</w:t>
      </w:r>
    </w:p>
    <w:p w14:paraId="299230B6" w14:textId="68638670" w:rsidR="00BE61C1" w:rsidRDefault="00BE61C1" w:rsidP="00BE61C1">
      <w:pPr>
        <w:rPr>
          <w:b/>
          <w:bCs/>
          <w:sz w:val="32"/>
          <w:szCs w:val="32"/>
        </w:rPr>
      </w:pPr>
    </w:p>
    <w:p w14:paraId="33882F0D" w14:textId="4924ED1F" w:rsidR="00BE61C1" w:rsidRDefault="00BE61C1" w:rsidP="00BE61C1">
      <w:r>
        <w:t xml:space="preserve">The EU has now published a regulation which </w:t>
      </w:r>
      <w:r w:rsidRPr="00BE61C1">
        <w:rPr>
          <w:b/>
          <w:bCs/>
        </w:rPr>
        <w:t>removes the authorisation for the use of E171 Titanium Dioxide (TiO2) as a Food Additive</w:t>
      </w:r>
      <w:r>
        <w:t>.  Commission Regulation 2022/63 of 14</w:t>
      </w:r>
      <w:r>
        <w:rPr>
          <w:vertAlign w:val="superscript"/>
        </w:rPr>
        <w:t>th</w:t>
      </w:r>
      <w:r>
        <w:t xml:space="preserve"> January was published in the Official Journal on 18</w:t>
      </w:r>
      <w:r>
        <w:rPr>
          <w:vertAlign w:val="superscript"/>
        </w:rPr>
        <w:t>th</w:t>
      </w:r>
      <w:r>
        <w:t xml:space="preserve"> January and </w:t>
      </w:r>
      <w:r w:rsidRPr="00BE61C1">
        <w:rPr>
          <w:b/>
          <w:bCs/>
        </w:rPr>
        <w:t>enters into force on 7</w:t>
      </w:r>
      <w:r w:rsidRPr="00BE61C1">
        <w:rPr>
          <w:b/>
          <w:bCs/>
          <w:vertAlign w:val="superscript"/>
        </w:rPr>
        <w:t>th</w:t>
      </w:r>
      <w:r w:rsidRPr="00BE61C1">
        <w:rPr>
          <w:b/>
          <w:bCs/>
        </w:rPr>
        <w:t xml:space="preserve"> February</w:t>
      </w:r>
      <w:r>
        <w:t xml:space="preserve">.  Products containing TiO2 </w:t>
      </w:r>
      <w:r w:rsidRPr="00A5260C">
        <w:rPr>
          <w:b/>
          <w:bCs/>
        </w:rPr>
        <w:t>cannot be placed on the EU market</w:t>
      </w:r>
      <w:r>
        <w:t xml:space="preserve"> after 7</w:t>
      </w:r>
      <w:r>
        <w:rPr>
          <w:vertAlign w:val="superscript"/>
        </w:rPr>
        <w:t>th</w:t>
      </w:r>
      <w:r>
        <w:t xml:space="preserve"> August 2020 (anything on the market before that date can remain until its “use by date” etc. is reached).</w:t>
      </w:r>
    </w:p>
    <w:p w14:paraId="0A81E75C" w14:textId="77777777" w:rsidR="00BE61C1" w:rsidRDefault="00BE61C1" w:rsidP="00BE61C1"/>
    <w:p w14:paraId="34955B89" w14:textId="0FDD90DC" w:rsidR="00BE61C1" w:rsidRDefault="00BE61C1" w:rsidP="00BE61C1">
      <w:r w:rsidRPr="00A5260C">
        <w:rPr>
          <w:b/>
          <w:bCs/>
        </w:rPr>
        <w:t>TiO2 does</w:t>
      </w:r>
      <w:r w:rsidRPr="00A5260C">
        <w:rPr>
          <w:b/>
          <w:bCs/>
        </w:rPr>
        <w:t>,</w:t>
      </w:r>
      <w:r w:rsidRPr="00A5260C">
        <w:rPr>
          <w:b/>
          <w:bCs/>
        </w:rPr>
        <w:t xml:space="preserve"> however</w:t>
      </w:r>
      <w:r w:rsidRPr="00A5260C">
        <w:rPr>
          <w:b/>
          <w:bCs/>
        </w:rPr>
        <w:t>,</w:t>
      </w:r>
      <w:r w:rsidRPr="00A5260C">
        <w:rPr>
          <w:b/>
          <w:bCs/>
        </w:rPr>
        <w:t xml:space="preserve"> remain a permitted food additive in GB</w:t>
      </w:r>
      <w:r>
        <w:t>. Whilst scientific committees operating under the FSA continue to review the additive their interim position has not supported its removal from the market.</w:t>
      </w:r>
    </w:p>
    <w:p w14:paraId="60E56990" w14:textId="77777777" w:rsidR="00BE61C1" w:rsidRDefault="00BE61C1" w:rsidP="00BE61C1"/>
    <w:p w14:paraId="5C0FAE80" w14:textId="77777777" w:rsidR="00BE61C1" w:rsidRDefault="00BE61C1" w:rsidP="00BE61C1">
      <w:r>
        <w:t>Additionally the safety of TiO2 is also being looked at by the joint WHO/FAO Expert Committee on Food Additives as a priority issue.</w:t>
      </w:r>
    </w:p>
    <w:p w14:paraId="79C7EDC6" w14:textId="77777777" w:rsidR="00D702A5" w:rsidRDefault="00D702A5"/>
    <w:sectPr w:rsidR="00D702A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BF6C5" w14:textId="77777777" w:rsidR="00BE61C1" w:rsidRDefault="00BE61C1" w:rsidP="00BE61C1">
      <w:r>
        <w:separator/>
      </w:r>
    </w:p>
  </w:endnote>
  <w:endnote w:type="continuationSeparator" w:id="0">
    <w:p w14:paraId="3DEA1E7C" w14:textId="77777777" w:rsidR="00BE61C1" w:rsidRDefault="00BE61C1" w:rsidP="00BE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67F7" w14:textId="77777777" w:rsidR="00BE61C1" w:rsidRDefault="00BE61C1" w:rsidP="00BE61C1">
      <w:r>
        <w:separator/>
      </w:r>
    </w:p>
  </w:footnote>
  <w:footnote w:type="continuationSeparator" w:id="0">
    <w:p w14:paraId="2C7017B5" w14:textId="77777777" w:rsidR="00BE61C1" w:rsidRDefault="00BE61C1" w:rsidP="00BE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CB2C" w14:textId="5A67070A" w:rsidR="00BE61C1" w:rsidRDefault="00BE61C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8DA83B" wp14:editId="193AE21A">
          <wp:simplePos x="0" y="0"/>
          <wp:positionH relativeFrom="margin">
            <wp:posOffset>3602990</wp:posOffset>
          </wp:positionH>
          <wp:positionV relativeFrom="margin">
            <wp:posOffset>-670560</wp:posOffset>
          </wp:positionV>
          <wp:extent cx="2882900" cy="850900"/>
          <wp:effectExtent l="0" t="0" r="0" b="6350"/>
          <wp:wrapSquare wrapText="bothSides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2900" cy="85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EF438DD" w14:textId="07A1848F" w:rsidR="00BE61C1" w:rsidRDefault="00BE6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C1"/>
    <w:rsid w:val="00A5260C"/>
    <w:rsid w:val="00BE61C1"/>
    <w:rsid w:val="00D7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9B62F"/>
  <w15:chartTrackingRefBased/>
  <w15:docId w15:val="{46566E42-1F00-4A4F-9A79-F2D8BCEA1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1C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1C1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E61C1"/>
  </w:style>
  <w:style w:type="paragraph" w:styleId="Footer">
    <w:name w:val="footer"/>
    <w:basedOn w:val="Normal"/>
    <w:link w:val="FooterChar"/>
    <w:uiPriority w:val="99"/>
    <w:unhideWhenUsed/>
    <w:rsid w:val="00BE61C1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E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Balfour</dc:creator>
  <cp:keywords/>
  <dc:description/>
  <cp:lastModifiedBy>Catriona Balfour</cp:lastModifiedBy>
  <cp:revision>1</cp:revision>
  <dcterms:created xsi:type="dcterms:W3CDTF">2022-01-27T09:47:00Z</dcterms:created>
  <dcterms:modified xsi:type="dcterms:W3CDTF">2022-01-27T09:54:00Z</dcterms:modified>
</cp:coreProperties>
</file>